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THE FEDERAL DISABILITY REVIEW LLC</w:t>
      </w:r>
    </w:p>
    <w:p>
      <w:pPr>
        <w:pStyle w:val="Title"/>
      </w:pPr>
      <w:r>
        <w:t>Job duties and functional impact workbook</w:t>
      </w:r>
    </w:p>
    <w:p>
      <w:pPr>
        <w:pStyle w:val="Subtitle"/>
      </w:pPr>
      <w:r>
        <w:t>Private working copy  |  Guide 06  |  Reviewed October 14 2026</w:t>
      </w:r>
    </w:p>
    <w:p>
      <w:r>
        <w:t>Create a factual duty-and-impact worksheet you can use with your physician, HR, and applicant statement.</w:t>
      </w:r>
    </w:p>
    <w:p>
      <w:pPr>
        <w:pStyle w:val="Heading1"/>
      </w:pPr>
      <w:r>
        <w:t>How to use this workbook</w:t>
      </w:r>
    </w:p>
    <w:p>
      <w:r>
        <w:t>Read the full guide before completing the prompts. Replace bracketed or blank text with accurate information from your own records. Keep observations separate from professional opinions. Leave uncertain facts marked for clarification rather than guessing. This workbook does not replace a government form or its instructions.</w:t>
      </w:r>
    </w:p>
    <w:p>
      <w:r>
        <w:t>Keep completed copies on your own device. Use only an authorized secure submission route when a receiving office requests records. The TFDR staging website does not collect this workbook.</w:t>
      </w:r>
    </w:p>
    <w:p>
      <w:pPr>
        <w:pStyle w:val="Heading2"/>
      </w:pPr>
      <w:r>
        <w:t>Fictional example</w:t>
      </w:r>
    </w:p>
    <w:p>
      <w:r>
        <w:t>Riley's position requires reviewing detailed reports under daily deadlines. Riley reports needing repeated breaks during symptom episodes. A dated physician note discusses limited sustained concentration but gives no task-specific duration. Riley cites that note without inventing a 15-minute restriction, records two representative work incidents, and asks the clinician to assess the report-review demand. The worksheet also notes that a quiet workspace improved interruptions but did not resolve the reported episodes.</w:t>
      </w:r>
    </w:p>
    <w:p>
      <w:pPr>
        <w:pStyle w:val="Heading2"/>
      </w:pPr>
      <w:r>
        <w:t>Use the complete guide</w:t>
      </w:r>
    </w:p>
    <w:p>
      <w:r>
        <w:t>https://tfdr-resource-staging.social-wave-0772.chatgpt.site/guides/06.html</w:t>
      </w:r>
    </w:p>
    <w:p>
      <w:pPr>
        <w:pStyle w:val="Heading2"/>
      </w:pPr>
      <w:r>
        <w:t>Official sources</w:t>
      </w:r>
    </w:p>
    <w:p>
      <w:pPr/>
      <w:r>
        <w:rPr>
          <w:sz w:val="16"/>
        </w:rPr>
        <w:t>OPM: SF 3112 disability documentation package</w:t>
        <w:br/>
        <w:t>https://www.opm.gov/forms/pdf_fill/sf3112.pdf</w:t>
      </w:r>
    </w:p>
    <w:p>
      <w:pPr/>
      <w:r>
        <w:rPr>
          <w:sz w:val="16"/>
        </w:rPr>
        <w:t>5 CFR 844.103: FERS disability eligibility</w:t>
        <w:br/>
        <w:t>https://www.ecfr.gov/current/title-5/chapter-I/subchapter-B/part-844/subpart-A/section-844.103</w:t>
      </w:r>
    </w:p>
    <w:p>
      <w:pPr/>
      <w:r>
        <w:rPr>
          <w:sz w:val="16"/>
        </w:rPr>
        <w:t>OPM: CSRS/FERS Handbook, Chapter 60</w:t>
        <w:br/>
        <w:t>https://www.opm.gov/retirement-center/publications-forms/csrsfers-handbook/c060.pdf</w:t>
      </w:r>
    </w:p>
    <w:p>
      <w:r>
        <w:br w:type="page"/>
      </w:r>
    </w:p>
    <w:p>
      <w:pPr>
        <w:pStyle w:val="Heading1"/>
      </w:pPr>
      <w:r>
        <w:t>Your working pages</w:t>
      </w:r>
    </w:p>
    <w:p>
      <w:pPr>
        <w:pStyle w:val="Heading2"/>
      </w:pPr>
      <w:r>
        <w:t>Break the job into observable demands</w:t>
      </w:r>
    </w:p>
    <w:p>
      <w:pPr>
        <w:keepNext/>
      </w:pPr>
      <w:r>
        <w:t>Duty and source document/page:</w:t>
      </w:r>
    </w:p>
    <w:p>
      <w:pPr>
        <w:spacing w:after="360"/>
      </w:pPr>
      <w:r>
        <w:t>[Type your response here]</w:t>
      </w:r>
    </w:p>
    <w:p>
      <w:pPr>
        <w:keepNext/>
      </w:pPr>
      <w:r>
        <w:t>Normal frequency and duration:</w:t>
      </w:r>
    </w:p>
    <w:p>
      <w:pPr>
        <w:spacing w:after="360"/>
      </w:pPr>
      <w:r>
        <w:t>[Type your response here]</w:t>
      </w:r>
    </w:p>
    <w:p>
      <w:pPr>
        <w:keepNext/>
      </w:pPr>
      <w:r>
        <w:t>Required standard, schedule, or safety demand:</w:t>
      </w:r>
    </w:p>
    <w:p>
      <w:pPr>
        <w:spacing w:after="360"/>
      </w:pPr>
      <w:r>
        <w:t>[Type your response here]</w:t>
      </w:r>
    </w:p>
    <w:p>
      <w:pPr>
        <w:keepNext/>
      </w:pPr>
      <w:r>
        <w:t>Tools, environment, and other people involved:</w:t>
      </w:r>
    </w:p>
    <w:p>
      <w:pPr>
        <w:spacing w:after="360"/>
      </w:pPr>
      <w:r>
        <w:t>[Type your response here]</w:t>
      </w:r>
    </w:p>
    <w:p>
      <w:pPr>
        <w:pStyle w:val="Heading2"/>
      </w:pPr>
      <w:r>
        <w:t>Build and check your worksheet</w:t>
      </w:r>
    </w:p>
    <w:p>
      <w:pPr>
        <w:keepNext/>
      </w:pPr>
      <w:r>
        <w:t>Duty number, exact wording or faithful paraphrase, and source:</w:t>
      </w:r>
    </w:p>
    <w:p>
      <w:pPr>
        <w:spacing w:after="360"/>
      </w:pPr>
      <w:r>
        <w:t>[Type your response here]</w:t>
      </w:r>
    </w:p>
    <w:p>
      <w:pPr>
        <w:keepNext/>
      </w:pPr>
      <w:r>
        <w:t>Documented restriction, author, date, duration, and page:</w:t>
      </w:r>
    </w:p>
    <w:p>
      <w:pPr>
        <w:spacing w:after="360"/>
      </w:pPr>
      <w:r>
        <w:t>[Type your response here]</w:t>
      </w:r>
    </w:p>
    <w:p>
      <w:pPr>
        <w:keepNext/>
      </w:pPr>
      <w:r>
        <w:t>Personal observation with date or representative period:</w:t>
      </w:r>
    </w:p>
    <w:p>
      <w:pPr>
        <w:spacing w:after="360"/>
      </w:pPr>
      <w:r>
        <w:t>[Type your response here]</w:t>
      </w:r>
    </w:p>
    <w:p>
      <w:pPr>
        <w:keepNext/>
      </w:pPr>
      <w:r>
        <w:t>Practical overlap between the task and the reported limitation:</w:t>
      </w:r>
    </w:p>
    <w:p>
      <w:pPr>
        <w:spacing w:after="360"/>
      </w:pPr>
      <w:r>
        <w:t>[Type your response here]</w:t>
      </w:r>
    </w:p>
    <w:p>
      <w:pPr>
        <w:keepNext/>
      </w:pPr>
      <w:r>
        <w:t>Adjustment tried, trial dates, helpful effects, and unresolved effects:</w:t>
      </w:r>
    </w:p>
    <w:p>
      <w:pPr>
        <w:spacing w:after="360"/>
      </w:pPr>
      <w:r>
        <w:t>[Type your response here]</w:t>
      </w:r>
    </w:p>
    <w:p>
      <w:pPr>
        <w:keepNext/>
      </w:pPr>
      <w:r>
        <w:t>Question requiring clinician or agency clarification:</w:t>
      </w:r>
    </w:p>
    <w:p>
      <w:pPr>
        <w:spacing w:after="360"/>
      </w:pPr>
      <w:r>
        <w:t>[Type your response here]</w:t>
      </w:r>
    </w:p>
    <w:p>
      <w:r>
        <w:br w:type="page"/>
      </w:r>
    </w:p>
    <w:p>
      <w:pPr>
        <w:pStyle w:val="Heading2"/>
      </w:pPr>
      <w:r>
        <w:t>Duty and restriction comparison</w:t>
      </w:r>
    </w:p>
    <w:tbl>
      <w:tblPr>
        <w:tblW w:type="auto" w:w="0"/>
        <w:tblLayout w:type="fixed"/>
        <w:tblLook w:firstColumn="1" w:firstRow="1" w:lastColumn="0" w:lastRow="0" w:noHBand="0" w:noVBand="1" w:val="04A0"/>
      </w:tblPr>
      <w:tblGrid>
        <w:gridCol w:w="3408"/>
        <w:gridCol w:w="3408"/>
        <w:gridCol w:w="3408"/>
      </w:tblGrid>
      <w:tr>
        <w:trPr>
          <w:tblHeader/>
        </w:trPr>
        <w:tc>
          <w:tcPr>
            <w:tcW w:type="dxa" w:w="3408"/>
            <w:shd w:fill="102B4C"/>
            <w:tcBorders>
              <w:top w:val="single" w:sz="4" w:color="D9D9D9"/>
              <w:left w:val="single" w:sz="4" w:color="D9D9D9"/>
              <w:bottom w:val="single" w:sz="4" w:color="D9D9D9"/>
              <w:right w:val="single" w:sz="4" w:color="D9D9D9"/>
            </w:tcBorders>
          </w:tcPr>
          <w:p>
            <w:pPr>
              <w:spacing w:after="140"/>
            </w:pPr>
            <w:r>
              <w:rPr>
                <w:b/>
                <w:color w:val="FFFFFF"/>
                <w:sz w:val="18"/>
              </w:rPr>
              <w:t>Duty and source</w:t>
            </w:r>
          </w:p>
        </w:tc>
        <w:tc>
          <w:tcPr>
            <w:tcW w:type="dxa" w:w="3408"/>
            <w:shd w:fill="102B4C"/>
            <w:tcBorders>
              <w:top w:val="single" w:sz="4" w:color="D9D9D9"/>
              <w:left w:val="single" w:sz="4" w:color="D9D9D9"/>
              <w:bottom w:val="single" w:sz="4" w:color="D9D9D9"/>
              <w:right w:val="single" w:sz="4" w:color="D9D9D9"/>
            </w:tcBorders>
          </w:tcPr>
          <w:p>
            <w:pPr>
              <w:spacing w:after="140"/>
            </w:pPr>
            <w:r>
              <w:rPr>
                <w:b/>
                <w:color w:val="FFFFFF"/>
                <w:sz w:val="18"/>
              </w:rPr>
              <w:t>Provider restriction and source</w:t>
            </w:r>
          </w:p>
        </w:tc>
        <w:tc>
          <w:tcPr>
            <w:tcW w:type="dxa" w:w="3408"/>
            <w:shd w:fill="102B4C"/>
            <w:tcBorders>
              <w:top w:val="single" w:sz="4" w:color="D9D9D9"/>
              <w:left w:val="single" w:sz="4" w:color="D9D9D9"/>
              <w:bottom w:val="single" w:sz="4" w:color="D9D9D9"/>
              <w:right w:val="single" w:sz="4" w:color="D9D9D9"/>
            </w:tcBorders>
          </w:tcPr>
          <w:p>
            <w:pPr>
              <w:spacing w:after="140"/>
            </w:pPr>
            <w:r>
              <w:rPr>
                <w:b/>
                <w:color w:val="FFFFFF"/>
                <w:sz w:val="18"/>
              </w:rPr>
              <w:t>Observed work effect</w:t>
            </w:r>
          </w:p>
        </w:tc>
      </w:tr>
      <w:tr>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r>
      <w:tr>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r>
      <w:tr>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r>
      <w:tr>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c>
          <w:tcPr>
            <w:tcW w:type="dxa" w:w="3408"/>
            <w:tcBorders>
              <w:top w:val="single" w:sz="4" w:color="D9D9D9"/>
              <w:left w:val="single" w:sz="4" w:color="D9D9D9"/>
              <w:bottom w:val="single" w:sz="4" w:color="D9D9D9"/>
              <w:right w:val="single" w:sz="4" w:color="D9D9D9"/>
            </w:tcBorders>
          </w:tcPr>
          <w:p>
            <w:pPr>
              <w:spacing w:after="140"/>
            </w:pPr>
            <w:r>
              <w:rPr>
                <w:sz w:val="18"/>
              </w:rPr>
            </w:r>
          </w:p>
        </w:tc>
      </w:tr>
    </w:tbl>
    <w:p/>
    <w:p>
      <w:pPr>
        <w:pStyle w:val="Heading1"/>
      </w:pPr>
      <w:r>
        <w:t>Before you use this work</w:t>
      </w:r>
    </w:p>
    <w:p>
      <w:r>
        <w:t>Check every statement against your records. Remove examples and unused placeholders. Use the current official application and any required certification. Medical findings remain those of the qualified provider; OPM determines eligibility. This educational workbook provides no legal, medical, or individualized tax advice.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duties and functional impact workbook Workbook</dc:title>
  <dc:subject/>
  <dc:creator>The Federal Disability Review LLC</dc:creator>
  <cp:keywords/>
  <dc:description>Client resource workbook</dc:description>
  <cp:lastModifiedBy/>
  <cp:revision>1</cp:revision>
  <dcterms:created xsi:type="dcterms:W3CDTF">2013-12-23T23:15:00Z</dcterms:created>
  <dcterms:modified xsi:type="dcterms:W3CDTF">2013-12-23T23:15:00Z</dcterms:modified>
  <cp:category/>
</cp:coreProperties>
</file>